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CE" w:rsidRPr="00D63600" w:rsidRDefault="00E42FCE" w:rsidP="00E42FCE">
      <w:pPr>
        <w:pStyle w:val="Heading1"/>
        <w:rPr>
          <w:color w:val="auto"/>
          <w:sz w:val="28"/>
          <w:szCs w:val="28"/>
        </w:rPr>
      </w:pPr>
      <w:bookmarkStart w:id="0" w:name="_GoBack"/>
      <w:bookmarkEnd w:id="0"/>
      <w:r w:rsidRPr="00555AC9">
        <w:rPr>
          <w:color w:val="auto"/>
          <w:sz w:val="24"/>
          <w:szCs w:val="24"/>
          <w:shd w:val="clear" w:color="auto" w:fill="C2D69B"/>
        </w:rPr>
        <w:t>Pupil premium grant expendit</w:t>
      </w:r>
      <w:r w:rsidR="00620854">
        <w:rPr>
          <w:color w:val="auto"/>
          <w:sz w:val="24"/>
          <w:szCs w:val="24"/>
          <w:shd w:val="clear" w:color="auto" w:fill="C2D69B"/>
        </w:rPr>
        <w:t xml:space="preserve">ure: </w:t>
      </w:r>
      <w:r w:rsidR="00620854">
        <w:rPr>
          <w:color w:val="auto"/>
          <w:sz w:val="24"/>
          <w:szCs w:val="24"/>
          <w:shd w:val="clear" w:color="auto" w:fill="C2D69B"/>
        </w:rPr>
        <w:br/>
        <w:t>Report to parents: 2021</w:t>
      </w:r>
      <w:r w:rsidR="00620854">
        <w:rPr>
          <w:color w:val="auto"/>
          <w:sz w:val="24"/>
          <w:szCs w:val="24"/>
          <w:shd w:val="clear" w:color="auto" w:fill="C2D69B"/>
          <w:lang w:val="en-GB"/>
        </w:rPr>
        <w:t>/22</w:t>
      </w:r>
      <w:r w:rsidR="00C36AD5">
        <w:rPr>
          <w:color w:val="auto"/>
          <w:sz w:val="28"/>
          <w:szCs w:val="28"/>
        </w:rPr>
        <w:pict>
          <v:rect id="_x0000_i1025" style="width:393.1pt;height:1.75pt" o:hrpct="871" o:hrstd="t" o:hrnoshade="t" o:hr="t" fillcolor="#0085cf" stroked="f"/>
        </w:pic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869"/>
        <w:gridCol w:w="2677"/>
      </w:tblGrid>
      <w:tr w:rsidR="00E42FCE" w:rsidTr="009A02E3">
        <w:trPr>
          <w:trHeight w:val="484"/>
        </w:trPr>
        <w:tc>
          <w:tcPr>
            <w:tcW w:w="9546" w:type="dxa"/>
            <w:gridSpan w:val="2"/>
            <w:shd w:val="clear" w:color="auto" w:fill="C2D69B"/>
            <w:vAlign w:val="center"/>
          </w:tcPr>
          <w:p w:rsidR="00E42FCE" w:rsidRPr="009A0BAD" w:rsidRDefault="00E42FCE" w:rsidP="009A02E3">
            <w:pPr>
              <w:spacing w:after="0"/>
              <w:rPr>
                <w:sz w:val="22"/>
                <w:szCs w:val="22"/>
              </w:rPr>
            </w:pPr>
            <w:r>
              <w:rPr>
                <w:b/>
                <w:sz w:val="22"/>
                <w:szCs w:val="22"/>
              </w:rPr>
              <w:t xml:space="preserve">Number of pupils and </w:t>
            </w:r>
            <w:r w:rsidRPr="009A0BAD">
              <w:rPr>
                <w:b/>
                <w:sz w:val="22"/>
                <w:szCs w:val="22"/>
              </w:rPr>
              <w:t>pupil premium grant (PPG)</w:t>
            </w:r>
            <w:r>
              <w:rPr>
                <w:b/>
                <w:sz w:val="22"/>
                <w:szCs w:val="22"/>
              </w:rPr>
              <w:t xml:space="preserve"> received</w:t>
            </w:r>
          </w:p>
        </w:tc>
      </w:tr>
      <w:tr w:rsidR="00E42FCE" w:rsidTr="009A02E3">
        <w:trPr>
          <w:trHeight w:val="538"/>
        </w:trPr>
        <w:tc>
          <w:tcPr>
            <w:tcW w:w="6869" w:type="dxa"/>
            <w:vAlign w:val="center"/>
          </w:tcPr>
          <w:p w:rsidR="00E42FCE" w:rsidRPr="00FD7670" w:rsidRDefault="00E42FCE" w:rsidP="009A02E3">
            <w:pPr>
              <w:spacing w:after="0"/>
              <w:rPr>
                <w:sz w:val="18"/>
                <w:szCs w:val="18"/>
              </w:rPr>
            </w:pPr>
            <w:r w:rsidRPr="00FD7670">
              <w:rPr>
                <w:sz w:val="18"/>
                <w:szCs w:val="18"/>
              </w:rPr>
              <w:t>Total number of pupils on roll</w:t>
            </w:r>
          </w:p>
        </w:tc>
        <w:tc>
          <w:tcPr>
            <w:tcW w:w="2677" w:type="dxa"/>
            <w:vAlign w:val="center"/>
          </w:tcPr>
          <w:p w:rsidR="00E42FCE" w:rsidRPr="009F0D5E" w:rsidRDefault="00620854" w:rsidP="009A02E3">
            <w:pPr>
              <w:spacing w:after="0"/>
              <w:rPr>
                <w:sz w:val="18"/>
                <w:szCs w:val="18"/>
              </w:rPr>
            </w:pPr>
            <w:r>
              <w:rPr>
                <w:sz w:val="18"/>
                <w:szCs w:val="18"/>
              </w:rPr>
              <w:t>208</w:t>
            </w:r>
          </w:p>
        </w:tc>
      </w:tr>
      <w:tr w:rsidR="00E42FCE" w:rsidTr="009A02E3">
        <w:trPr>
          <w:trHeight w:val="538"/>
        </w:trPr>
        <w:tc>
          <w:tcPr>
            <w:tcW w:w="6869" w:type="dxa"/>
            <w:vAlign w:val="center"/>
          </w:tcPr>
          <w:p w:rsidR="00E42FCE" w:rsidRPr="00FD7670" w:rsidRDefault="00E42FCE" w:rsidP="009A02E3">
            <w:pPr>
              <w:spacing w:after="0"/>
              <w:rPr>
                <w:sz w:val="18"/>
                <w:szCs w:val="18"/>
              </w:rPr>
            </w:pPr>
            <w:r w:rsidRPr="00FD7670">
              <w:rPr>
                <w:sz w:val="18"/>
                <w:szCs w:val="18"/>
              </w:rPr>
              <w:t>Total number of pupils eligible for PPG</w:t>
            </w:r>
          </w:p>
        </w:tc>
        <w:tc>
          <w:tcPr>
            <w:tcW w:w="2677" w:type="dxa"/>
            <w:vAlign w:val="center"/>
          </w:tcPr>
          <w:p w:rsidR="00E42FCE" w:rsidRPr="009F0D5E" w:rsidRDefault="00620854" w:rsidP="009A02E3">
            <w:pPr>
              <w:spacing w:after="0"/>
              <w:rPr>
                <w:sz w:val="18"/>
                <w:szCs w:val="18"/>
              </w:rPr>
            </w:pPr>
            <w:r>
              <w:rPr>
                <w:sz w:val="18"/>
                <w:szCs w:val="18"/>
              </w:rPr>
              <w:t>13</w:t>
            </w:r>
          </w:p>
        </w:tc>
      </w:tr>
      <w:tr w:rsidR="00E42FCE" w:rsidTr="009A02E3">
        <w:trPr>
          <w:trHeight w:val="538"/>
        </w:trPr>
        <w:tc>
          <w:tcPr>
            <w:tcW w:w="6869" w:type="dxa"/>
            <w:vAlign w:val="center"/>
          </w:tcPr>
          <w:p w:rsidR="00E42FCE" w:rsidRPr="00FD7670" w:rsidRDefault="00E42FCE" w:rsidP="009A02E3">
            <w:pPr>
              <w:spacing w:after="0"/>
              <w:rPr>
                <w:b/>
                <w:sz w:val="18"/>
                <w:szCs w:val="18"/>
              </w:rPr>
            </w:pPr>
            <w:r w:rsidRPr="00FD7670">
              <w:rPr>
                <w:sz w:val="18"/>
                <w:szCs w:val="18"/>
              </w:rPr>
              <w:t>Amount of PPG received per pupil</w:t>
            </w:r>
          </w:p>
        </w:tc>
        <w:tc>
          <w:tcPr>
            <w:tcW w:w="2677" w:type="dxa"/>
            <w:vAlign w:val="center"/>
          </w:tcPr>
          <w:p w:rsidR="00E42FCE" w:rsidRPr="009F0D5E" w:rsidRDefault="009F0D5E" w:rsidP="009A02E3">
            <w:pPr>
              <w:spacing w:after="0"/>
              <w:rPr>
                <w:sz w:val="18"/>
                <w:szCs w:val="18"/>
              </w:rPr>
            </w:pPr>
            <w:r w:rsidRPr="009F0D5E">
              <w:rPr>
                <w:sz w:val="18"/>
                <w:szCs w:val="18"/>
              </w:rPr>
              <w:t>1345</w:t>
            </w:r>
          </w:p>
        </w:tc>
      </w:tr>
      <w:tr w:rsidR="00E42FCE" w:rsidTr="009A02E3">
        <w:trPr>
          <w:trHeight w:val="538"/>
        </w:trPr>
        <w:tc>
          <w:tcPr>
            <w:tcW w:w="6869" w:type="dxa"/>
            <w:vAlign w:val="center"/>
          </w:tcPr>
          <w:p w:rsidR="00E42FCE" w:rsidRPr="00FD7670" w:rsidRDefault="00E42FCE" w:rsidP="009A02E3">
            <w:pPr>
              <w:spacing w:after="0"/>
              <w:rPr>
                <w:b/>
                <w:sz w:val="18"/>
                <w:szCs w:val="18"/>
              </w:rPr>
            </w:pPr>
            <w:r w:rsidRPr="00FD7670">
              <w:rPr>
                <w:b/>
                <w:sz w:val="18"/>
                <w:szCs w:val="18"/>
              </w:rPr>
              <w:t>Total amount of PPG received</w:t>
            </w:r>
          </w:p>
        </w:tc>
        <w:tc>
          <w:tcPr>
            <w:tcW w:w="2677" w:type="dxa"/>
            <w:vAlign w:val="center"/>
          </w:tcPr>
          <w:p w:rsidR="00E42FCE" w:rsidRPr="009F0D5E" w:rsidRDefault="00620854" w:rsidP="009A02E3">
            <w:pPr>
              <w:spacing w:after="0"/>
              <w:rPr>
                <w:sz w:val="18"/>
                <w:szCs w:val="18"/>
              </w:rPr>
            </w:pPr>
            <w:r>
              <w:rPr>
                <w:sz w:val="18"/>
                <w:szCs w:val="18"/>
              </w:rPr>
              <w:t>17485</w:t>
            </w:r>
          </w:p>
        </w:tc>
      </w:tr>
    </w:tbl>
    <w:p w:rsidR="00E42FCE" w:rsidRDefault="00E42FCE" w:rsidP="00E42FC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606"/>
      </w:tblGrid>
      <w:tr w:rsidR="00E42FCE" w:rsidTr="009A02E3">
        <w:trPr>
          <w:trHeight w:val="671"/>
        </w:trPr>
        <w:tc>
          <w:tcPr>
            <w:tcW w:w="9606" w:type="dxa"/>
            <w:shd w:val="clear" w:color="auto" w:fill="C2D69B"/>
            <w:vAlign w:val="center"/>
          </w:tcPr>
          <w:p w:rsidR="00E42FCE" w:rsidRPr="009A0BAD" w:rsidRDefault="00E42FCE" w:rsidP="009A02E3">
            <w:pPr>
              <w:tabs>
                <w:tab w:val="left" w:pos="6249"/>
              </w:tabs>
              <w:spacing w:after="0"/>
              <w:rPr>
                <w:b/>
                <w:sz w:val="22"/>
                <w:szCs w:val="22"/>
              </w:rPr>
            </w:pPr>
            <w:r>
              <w:rPr>
                <w:b/>
                <w:sz w:val="22"/>
                <w:szCs w:val="22"/>
              </w:rPr>
              <w:t xml:space="preserve">Nature of support </w:t>
            </w:r>
            <w:r w:rsidRPr="009A0BAD">
              <w:rPr>
                <w:b/>
                <w:sz w:val="22"/>
                <w:szCs w:val="22"/>
              </w:rPr>
              <w:t xml:space="preserve"> </w:t>
            </w:r>
            <w:r w:rsidR="00620854">
              <w:rPr>
                <w:b/>
                <w:sz w:val="22"/>
                <w:szCs w:val="22"/>
              </w:rPr>
              <w:t>for 2021/22</w:t>
            </w:r>
          </w:p>
        </w:tc>
      </w:tr>
      <w:tr w:rsidR="00E42FCE" w:rsidTr="009A02E3">
        <w:trPr>
          <w:trHeight w:val="2443"/>
        </w:trPr>
        <w:tc>
          <w:tcPr>
            <w:tcW w:w="9606" w:type="dxa"/>
          </w:tcPr>
          <w:p w:rsidR="00E42FCE" w:rsidRDefault="00E42FCE" w:rsidP="009A02E3">
            <w:pPr>
              <w:rPr>
                <w:i/>
                <w:sz w:val="18"/>
                <w:szCs w:val="18"/>
              </w:rPr>
            </w:pPr>
            <w:r>
              <w:rPr>
                <w:i/>
                <w:sz w:val="18"/>
                <w:szCs w:val="18"/>
              </w:rPr>
              <w:t>Our Pupil Premium is being focused on ensuring our most vulnerable pupils catch up with their learning since the opening of th</w:t>
            </w:r>
            <w:r w:rsidR="00620854">
              <w:rPr>
                <w:i/>
                <w:sz w:val="18"/>
                <w:szCs w:val="18"/>
              </w:rPr>
              <w:t>e school fully in September 2021</w:t>
            </w:r>
            <w:r>
              <w:rPr>
                <w:i/>
                <w:sz w:val="18"/>
                <w:szCs w:val="18"/>
              </w:rPr>
              <w:t xml:space="preserve"> and to ensure these pupils are able to access learning if</w:t>
            </w:r>
            <w:r w:rsidR="00620854">
              <w:rPr>
                <w:i/>
                <w:sz w:val="18"/>
                <w:szCs w:val="18"/>
              </w:rPr>
              <w:t xml:space="preserve"> the school has to close again.</w:t>
            </w:r>
          </w:p>
          <w:p w:rsidR="00E42FCE" w:rsidRPr="00FD7670" w:rsidRDefault="00E42FCE" w:rsidP="009A02E3">
            <w:pPr>
              <w:rPr>
                <w:i/>
                <w:sz w:val="18"/>
                <w:szCs w:val="18"/>
              </w:rPr>
            </w:pPr>
            <w:r>
              <w:rPr>
                <w:i/>
                <w:sz w:val="18"/>
                <w:szCs w:val="18"/>
              </w:rPr>
              <w:t>The Pupil Premium i</w:t>
            </w:r>
            <w:r w:rsidRPr="00FD7670">
              <w:rPr>
                <w:i/>
                <w:sz w:val="18"/>
                <w:szCs w:val="18"/>
              </w:rPr>
              <w:t>s been used mainly to support intervention programmes such as our 1 to 1</w:t>
            </w:r>
            <w:r>
              <w:rPr>
                <w:i/>
                <w:sz w:val="18"/>
                <w:szCs w:val="18"/>
              </w:rPr>
              <w:t xml:space="preserve"> programme for pupils in Years 1</w:t>
            </w:r>
            <w:r w:rsidRPr="00FD7670">
              <w:rPr>
                <w:i/>
                <w:sz w:val="18"/>
                <w:szCs w:val="18"/>
              </w:rPr>
              <w:t>-6, our Booster prog</w:t>
            </w:r>
            <w:r>
              <w:rPr>
                <w:i/>
                <w:sz w:val="18"/>
                <w:szCs w:val="18"/>
              </w:rPr>
              <w:t xml:space="preserve">rammes for pupils in Years </w:t>
            </w:r>
            <w:r w:rsidRPr="00FD7670">
              <w:rPr>
                <w:i/>
                <w:sz w:val="18"/>
                <w:szCs w:val="18"/>
              </w:rPr>
              <w:t>6 and for extra Teaching Assistant hours in both our Key Stage 1 and Key Stage 2 classes.</w:t>
            </w:r>
          </w:p>
          <w:p w:rsidR="00E42FCE" w:rsidRPr="00FD7670" w:rsidRDefault="00E42FCE" w:rsidP="009A02E3">
            <w:pPr>
              <w:rPr>
                <w:i/>
                <w:sz w:val="18"/>
                <w:szCs w:val="18"/>
              </w:rPr>
            </w:pPr>
            <w:r>
              <w:rPr>
                <w:i/>
                <w:sz w:val="18"/>
                <w:szCs w:val="18"/>
              </w:rPr>
              <w:t>We use</w:t>
            </w:r>
            <w:r w:rsidRPr="00FD7670">
              <w:rPr>
                <w:i/>
                <w:sz w:val="18"/>
                <w:szCs w:val="18"/>
              </w:rPr>
              <w:t xml:space="preserve"> some of the PP to support our enrichment activities for pupils identified on the Gifted and Talented list throughout the year. In particular we have used the premium for individual music lesson and PE Clubs.</w:t>
            </w:r>
          </w:p>
          <w:p w:rsidR="00E42FCE" w:rsidRDefault="00E42FCE" w:rsidP="009A02E3">
            <w:pPr>
              <w:rPr>
                <w:i/>
                <w:sz w:val="18"/>
                <w:szCs w:val="18"/>
              </w:rPr>
            </w:pPr>
            <w:r>
              <w:rPr>
                <w:i/>
                <w:sz w:val="18"/>
                <w:szCs w:val="18"/>
              </w:rPr>
              <w:t>We use</w:t>
            </w:r>
            <w:r w:rsidRPr="00FD7670">
              <w:rPr>
                <w:i/>
                <w:sz w:val="18"/>
                <w:szCs w:val="18"/>
              </w:rPr>
              <w:t xml:space="preserve"> the funding to support our whole school focus on cooking and food technology lessons for every child in our dedicated food technology room.</w:t>
            </w:r>
          </w:p>
          <w:p w:rsidR="00E42FCE" w:rsidRPr="00FD7670" w:rsidRDefault="00E42FCE" w:rsidP="009A02E3">
            <w:pPr>
              <w:rPr>
                <w:i/>
                <w:sz w:val="18"/>
                <w:szCs w:val="18"/>
              </w:rPr>
            </w:pPr>
            <w:r>
              <w:rPr>
                <w:i/>
                <w:sz w:val="18"/>
                <w:szCs w:val="18"/>
              </w:rPr>
              <w:t>We  use some of the funding to support our whole school focus on gardening and growing in our allotment</w:t>
            </w:r>
          </w:p>
          <w:p w:rsidR="00E42FCE" w:rsidRPr="00FD7670" w:rsidRDefault="00E42FCE" w:rsidP="009A02E3">
            <w:pPr>
              <w:rPr>
                <w:i/>
                <w:sz w:val="18"/>
                <w:szCs w:val="18"/>
              </w:rPr>
            </w:pPr>
            <w:r>
              <w:rPr>
                <w:i/>
                <w:sz w:val="18"/>
                <w:szCs w:val="18"/>
              </w:rPr>
              <w:t>We use</w:t>
            </w:r>
            <w:r w:rsidRPr="00FD7670">
              <w:rPr>
                <w:i/>
                <w:sz w:val="18"/>
                <w:szCs w:val="18"/>
              </w:rPr>
              <w:t xml:space="preserve"> some of the funding to support the work of our School Councillor.</w:t>
            </w:r>
          </w:p>
          <w:p w:rsidR="00E42FCE" w:rsidRPr="001639F5" w:rsidRDefault="00E42FCE" w:rsidP="009A02E3">
            <w:r>
              <w:rPr>
                <w:i/>
                <w:sz w:val="18"/>
                <w:szCs w:val="18"/>
              </w:rPr>
              <w:t>We also use</w:t>
            </w:r>
            <w:r w:rsidRPr="00FD7670">
              <w:rPr>
                <w:i/>
                <w:sz w:val="18"/>
                <w:szCs w:val="18"/>
              </w:rPr>
              <w:t xml:space="preserve"> the funding to support some trip and visits expenditure.</w:t>
            </w:r>
            <w:r>
              <w:rPr>
                <w:i/>
              </w:rPr>
              <w:t xml:space="preserve"> </w:t>
            </w:r>
          </w:p>
        </w:tc>
      </w:tr>
    </w:tbl>
    <w:p w:rsidR="00E42FCE" w:rsidRDefault="00E42FCE" w:rsidP="00E42FC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747"/>
      </w:tblGrid>
      <w:tr w:rsidR="00E42FCE" w:rsidTr="009A02E3">
        <w:trPr>
          <w:trHeight w:val="604"/>
        </w:trPr>
        <w:tc>
          <w:tcPr>
            <w:tcW w:w="9747" w:type="dxa"/>
            <w:shd w:val="clear" w:color="auto" w:fill="C2D69B"/>
            <w:vAlign w:val="center"/>
          </w:tcPr>
          <w:p w:rsidR="00E42FCE" w:rsidRPr="009A0BAD" w:rsidRDefault="00E42FCE" w:rsidP="009A02E3">
            <w:pPr>
              <w:tabs>
                <w:tab w:val="left" w:pos="6249"/>
              </w:tabs>
              <w:spacing w:after="0"/>
              <w:rPr>
                <w:b/>
                <w:sz w:val="22"/>
                <w:szCs w:val="22"/>
              </w:rPr>
            </w:pPr>
            <w:r>
              <w:br w:type="page"/>
            </w:r>
            <w:r>
              <w:br w:type="page"/>
            </w:r>
            <w:r>
              <w:br w:type="page"/>
            </w:r>
            <w:r>
              <w:br w:type="page"/>
            </w:r>
            <w:r>
              <w:br w:type="page"/>
            </w:r>
            <w:r>
              <w:rPr>
                <w:b/>
                <w:sz w:val="22"/>
                <w:szCs w:val="22"/>
              </w:rPr>
              <w:t>Curri</w:t>
            </w:r>
            <w:r w:rsidR="00620854">
              <w:rPr>
                <w:b/>
                <w:sz w:val="22"/>
                <w:szCs w:val="22"/>
              </w:rPr>
              <w:t>culum focus of PPG spending 2021/2022</w:t>
            </w:r>
          </w:p>
        </w:tc>
      </w:tr>
      <w:tr w:rsidR="00E42FCE" w:rsidTr="009A02E3">
        <w:trPr>
          <w:trHeight w:val="1217"/>
        </w:trPr>
        <w:tc>
          <w:tcPr>
            <w:tcW w:w="9747" w:type="dxa"/>
          </w:tcPr>
          <w:p w:rsidR="00E42FCE" w:rsidRPr="00FD7670" w:rsidRDefault="00E42FCE" w:rsidP="009A02E3">
            <w:pPr>
              <w:pStyle w:val="ListParagraph"/>
              <w:numPr>
                <w:ilvl w:val="0"/>
                <w:numId w:val="1"/>
              </w:numPr>
              <w:rPr>
                <w:sz w:val="18"/>
                <w:szCs w:val="18"/>
              </w:rPr>
            </w:pPr>
            <w:r w:rsidRPr="00FD7670">
              <w:rPr>
                <w:sz w:val="18"/>
                <w:szCs w:val="18"/>
              </w:rPr>
              <w:t>In closing the gap in both literacy and numeracy for  pupils in both Key Stages</w:t>
            </w:r>
          </w:p>
          <w:p w:rsidR="00E42FCE" w:rsidRPr="00FD7670" w:rsidRDefault="00E42FCE" w:rsidP="009A02E3">
            <w:pPr>
              <w:pStyle w:val="ListParagraph"/>
              <w:numPr>
                <w:ilvl w:val="0"/>
                <w:numId w:val="1"/>
              </w:numPr>
              <w:rPr>
                <w:sz w:val="18"/>
                <w:szCs w:val="18"/>
              </w:rPr>
            </w:pPr>
            <w:r w:rsidRPr="00FD7670">
              <w:rPr>
                <w:sz w:val="18"/>
                <w:szCs w:val="18"/>
              </w:rPr>
              <w:t>To enrich provision for our more able pupils</w:t>
            </w:r>
          </w:p>
          <w:p w:rsidR="00E42FCE" w:rsidRPr="00FD7670" w:rsidRDefault="00E42FCE" w:rsidP="009A02E3">
            <w:pPr>
              <w:pStyle w:val="ListParagraph"/>
              <w:numPr>
                <w:ilvl w:val="0"/>
                <w:numId w:val="1"/>
              </w:numPr>
              <w:rPr>
                <w:sz w:val="18"/>
                <w:szCs w:val="18"/>
              </w:rPr>
            </w:pPr>
            <w:r w:rsidRPr="00FD7670">
              <w:rPr>
                <w:sz w:val="18"/>
                <w:szCs w:val="18"/>
              </w:rPr>
              <w:t>To promote a healthy attitude to</w:t>
            </w:r>
            <w:r>
              <w:rPr>
                <w:sz w:val="18"/>
                <w:szCs w:val="18"/>
              </w:rPr>
              <w:t xml:space="preserve"> growing,</w:t>
            </w:r>
            <w:r w:rsidRPr="00FD7670">
              <w:rPr>
                <w:sz w:val="18"/>
                <w:szCs w:val="18"/>
              </w:rPr>
              <w:t xml:space="preserve"> cooking and eating</w:t>
            </w:r>
          </w:p>
          <w:p w:rsidR="00E42FCE" w:rsidRPr="0080563F" w:rsidRDefault="00E42FCE" w:rsidP="009A02E3">
            <w:pPr>
              <w:pStyle w:val="ListParagraph"/>
              <w:numPr>
                <w:ilvl w:val="0"/>
                <w:numId w:val="1"/>
              </w:numPr>
            </w:pPr>
            <w:r w:rsidRPr="00FD7670">
              <w:rPr>
                <w:sz w:val="18"/>
                <w:szCs w:val="18"/>
              </w:rPr>
              <w:t>To ensure that pupils have access to extended physical and musical activities</w:t>
            </w:r>
          </w:p>
          <w:p w:rsidR="00E42FCE" w:rsidRPr="001639F5" w:rsidRDefault="00E42FCE" w:rsidP="009A02E3">
            <w:pPr>
              <w:pStyle w:val="ListParagraph"/>
              <w:numPr>
                <w:ilvl w:val="0"/>
                <w:numId w:val="1"/>
              </w:numPr>
            </w:pPr>
            <w:r>
              <w:rPr>
                <w:sz w:val="18"/>
                <w:szCs w:val="18"/>
              </w:rPr>
              <w:t>To promote healthy minds for our most vulnerable pupils</w:t>
            </w:r>
          </w:p>
        </w:tc>
      </w:tr>
    </w:tbl>
    <w:p w:rsidR="00E42FCE" w:rsidRPr="001639F5" w:rsidRDefault="00E42FCE" w:rsidP="00E42FC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747"/>
      </w:tblGrid>
      <w:tr w:rsidR="00E42FCE" w:rsidTr="009A02E3">
        <w:trPr>
          <w:trHeight w:val="646"/>
        </w:trPr>
        <w:tc>
          <w:tcPr>
            <w:tcW w:w="9747" w:type="dxa"/>
            <w:shd w:val="clear" w:color="auto" w:fill="C2D69B"/>
            <w:vAlign w:val="center"/>
          </w:tcPr>
          <w:p w:rsidR="00E42FCE" w:rsidRPr="009A0BAD" w:rsidRDefault="00E42FCE" w:rsidP="009A02E3">
            <w:pPr>
              <w:tabs>
                <w:tab w:val="left" w:pos="6249"/>
              </w:tabs>
              <w:spacing w:after="0"/>
              <w:rPr>
                <w:b/>
                <w:sz w:val="22"/>
                <w:szCs w:val="22"/>
              </w:rPr>
            </w:pPr>
            <w:r>
              <w:rPr>
                <w:b/>
                <w:sz w:val="22"/>
                <w:szCs w:val="22"/>
              </w:rPr>
              <w:lastRenderedPageBreak/>
              <w:t>Measuring the impact of PPG spending</w:t>
            </w:r>
          </w:p>
        </w:tc>
      </w:tr>
      <w:tr w:rsidR="00E42FCE" w:rsidTr="009A02E3">
        <w:trPr>
          <w:trHeight w:val="30"/>
        </w:trPr>
        <w:tc>
          <w:tcPr>
            <w:tcW w:w="9747" w:type="dxa"/>
          </w:tcPr>
          <w:p w:rsidR="00E42FCE" w:rsidRPr="000A1637" w:rsidRDefault="00E42FCE" w:rsidP="00E42FCE">
            <w:pPr>
              <w:tabs>
                <w:tab w:val="left" w:pos="6249"/>
              </w:tabs>
              <w:spacing w:after="120"/>
            </w:pPr>
            <w:r>
              <w:rPr>
                <w:sz w:val="18"/>
                <w:szCs w:val="18"/>
              </w:rPr>
              <w:t xml:space="preserve">The school </w:t>
            </w:r>
            <w:r w:rsidRPr="00FD7670">
              <w:rPr>
                <w:sz w:val="18"/>
                <w:szCs w:val="18"/>
              </w:rPr>
              <w:t>evaluate</w:t>
            </w:r>
            <w:r>
              <w:rPr>
                <w:sz w:val="18"/>
                <w:szCs w:val="18"/>
              </w:rPr>
              <w:t>s</w:t>
            </w:r>
            <w:r w:rsidRPr="00FD7670">
              <w:rPr>
                <w:sz w:val="18"/>
                <w:szCs w:val="18"/>
              </w:rPr>
              <w:t xml:space="preserve"> the impact on each pupil at the end of the autumn, spring and summer terms. Evaluation</w:t>
            </w:r>
            <w:r>
              <w:rPr>
                <w:sz w:val="18"/>
                <w:szCs w:val="18"/>
              </w:rPr>
              <w:t>s</w:t>
            </w:r>
            <w:r w:rsidRPr="00FD7670">
              <w:rPr>
                <w:sz w:val="18"/>
                <w:szCs w:val="18"/>
              </w:rPr>
              <w:t xml:space="preserve"> focus on academic gains and how pupils’ self-confidence has developed as a consequence of the intervention. This </w:t>
            </w:r>
            <w:r>
              <w:rPr>
                <w:sz w:val="18"/>
                <w:szCs w:val="18"/>
              </w:rPr>
              <w:t>is</w:t>
            </w:r>
            <w:r w:rsidRPr="00FD7670">
              <w:rPr>
                <w:sz w:val="18"/>
                <w:szCs w:val="18"/>
              </w:rPr>
              <w:t xml:space="preserve"> shared with parents.</w:t>
            </w:r>
            <w:r>
              <w:rPr>
                <w:sz w:val="18"/>
                <w:szCs w:val="18"/>
              </w:rPr>
              <w:t xml:space="preserve"> As this group is so small we do not share this on our website.</w:t>
            </w:r>
          </w:p>
        </w:tc>
      </w:tr>
    </w:tbl>
    <w:p w:rsidR="00E42FCE" w:rsidRDefault="00E42FCE" w:rsidP="00E42FCE"/>
    <w:p w:rsidR="00BB07EA" w:rsidRDefault="00BB07EA"/>
    <w:sectPr w:rsidR="00BB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BE6"/>
    <w:multiLevelType w:val="hybridMultilevel"/>
    <w:tmpl w:val="D48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CE"/>
    <w:rsid w:val="005C7A8E"/>
    <w:rsid w:val="00620854"/>
    <w:rsid w:val="009F0D5E"/>
    <w:rsid w:val="00BB07EA"/>
    <w:rsid w:val="00C36AD5"/>
    <w:rsid w:val="00C7302F"/>
    <w:rsid w:val="00E4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D17849-5139-4115-A69A-266A2F0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CE"/>
    <w:pPr>
      <w:spacing w:after="200" w:line="276" w:lineRule="auto"/>
    </w:pPr>
    <w:rPr>
      <w:rFonts w:ascii="Arial" w:eastAsia="Calibri" w:hAnsi="Arial" w:cs="Arial"/>
      <w:sz w:val="20"/>
      <w:szCs w:val="20"/>
    </w:rPr>
  </w:style>
  <w:style w:type="paragraph" w:styleId="Heading1">
    <w:name w:val="heading 1"/>
    <w:basedOn w:val="Normal"/>
    <w:next w:val="Normal"/>
    <w:link w:val="Heading1Char"/>
    <w:uiPriority w:val="9"/>
    <w:qFormat/>
    <w:rsid w:val="00E42FCE"/>
    <w:pPr>
      <w:outlineLvl w:val="0"/>
    </w:pPr>
    <w:rPr>
      <w:rFonts w:cs="Times New Roman"/>
      <w:color w:val="0085CF"/>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CE"/>
    <w:rPr>
      <w:rFonts w:ascii="Arial" w:eastAsia="Calibri" w:hAnsi="Arial" w:cs="Times New Roman"/>
      <w:color w:val="0085CF"/>
      <w:sz w:val="36"/>
      <w:szCs w:val="36"/>
      <w:lang w:val="x-none" w:eastAsia="x-none"/>
    </w:rPr>
  </w:style>
  <w:style w:type="paragraph" w:styleId="ListParagraph">
    <w:name w:val="List Paragraph"/>
    <w:basedOn w:val="Normal"/>
    <w:uiPriority w:val="34"/>
    <w:qFormat/>
    <w:rsid w:val="00E42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Carson</dc:creator>
  <cp:keywords/>
  <dc:description/>
  <cp:lastModifiedBy>DONNA YOUNG</cp:lastModifiedBy>
  <cp:revision>2</cp:revision>
  <dcterms:created xsi:type="dcterms:W3CDTF">2021-11-15T13:14:00Z</dcterms:created>
  <dcterms:modified xsi:type="dcterms:W3CDTF">2021-11-15T13:14:00Z</dcterms:modified>
</cp:coreProperties>
</file>